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12749A9A" w:rsidR="00B84690" w:rsidRPr="000404EF" w:rsidRDefault="00192F3A" w:rsidP="00B84690">
      <w:pPr>
        <w:pStyle w:val="3GPPHeader"/>
        <w:spacing w:after="60"/>
        <w:rPr>
          <w:lang w:val="en-US"/>
        </w:rPr>
      </w:pPr>
      <w:r>
        <w:rPr>
          <w:lang w:val="en-US"/>
        </w:rPr>
        <w:t>3GPP TSG-RAN WG2 #97</w:t>
      </w:r>
      <w:r w:rsidR="00F27E6A">
        <w:rPr>
          <w:lang w:val="en-US"/>
        </w:rPr>
        <w:t>bis</w:t>
      </w:r>
      <w:r w:rsidR="00B84690" w:rsidRPr="000404EF">
        <w:rPr>
          <w:lang w:val="en-US"/>
        </w:rPr>
        <w:tab/>
      </w:r>
      <w:r w:rsidR="00B84690" w:rsidRPr="005700C4">
        <w:rPr>
          <w:lang w:val="en-US"/>
        </w:rPr>
        <w:t>Tdoc R2-</w:t>
      </w:r>
      <w:r w:rsidR="00F27E6A" w:rsidRPr="005700C4">
        <w:rPr>
          <w:lang w:val="en-US"/>
        </w:rPr>
        <w:t>1702721</w:t>
      </w:r>
    </w:p>
    <w:p w14:paraId="169EEC3D" w14:textId="7344BB8E" w:rsidR="00B84690" w:rsidRDefault="00F27E6A" w:rsidP="00F27E6A">
      <w:pPr>
        <w:pStyle w:val="3GPPHeader"/>
        <w:rPr>
          <w:b w:val="0"/>
          <w:noProof/>
        </w:rPr>
      </w:pPr>
      <w:r>
        <w:t>Spokane, USA, 3</w:t>
      </w:r>
      <w:r w:rsidRPr="00AE3743">
        <w:rPr>
          <w:vertAlign w:val="superscript"/>
        </w:rPr>
        <w:t>rd</w:t>
      </w:r>
      <w:r>
        <w:t xml:space="preserve"> – 7</w:t>
      </w:r>
      <w:r w:rsidRPr="00AE3743">
        <w:rPr>
          <w:vertAlign w:val="superscript"/>
        </w:rPr>
        <w:t>th</w:t>
      </w:r>
      <w:r>
        <w:t xml:space="preserve"> April 2017</w:t>
      </w:r>
      <w:r w:rsidR="001A236B">
        <w:rPr>
          <w:lang w:val="en-US"/>
        </w:rPr>
        <w:tab/>
        <w:t>Re</w:t>
      </w:r>
      <w:r>
        <w:rPr>
          <w:lang w:val="en-US"/>
        </w:rPr>
        <w:t>vision</w:t>
      </w:r>
      <w:r w:rsidR="001A236B">
        <w:rPr>
          <w:lang w:val="en-US"/>
        </w:rPr>
        <w:t xml:space="preserve"> of R2-1700</w:t>
      </w:r>
      <w:r>
        <w:rPr>
          <w:lang w:val="en-US"/>
        </w:rPr>
        <w:t>855</w:t>
      </w:r>
    </w:p>
    <w:p w14:paraId="2636E1A4" w14:textId="77777777" w:rsidR="00E90E49" w:rsidRPr="00CE0424" w:rsidRDefault="00E90E49" w:rsidP="00357380">
      <w:pPr>
        <w:pStyle w:val="3GPPHeader"/>
      </w:pPr>
    </w:p>
    <w:p w14:paraId="227B0EC5" w14:textId="3746D408" w:rsidR="00E90E49" w:rsidRPr="00A10B70" w:rsidRDefault="00E90E49" w:rsidP="00311702">
      <w:pPr>
        <w:pStyle w:val="3GPPHeader"/>
        <w:rPr>
          <w:sz w:val="22"/>
          <w:szCs w:val="22"/>
          <w:lang w:val="en-US"/>
        </w:rPr>
      </w:pPr>
      <w:r w:rsidRPr="00A10B70">
        <w:rPr>
          <w:sz w:val="22"/>
          <w:szCs w:val="22"/>
          <w:lang w:val="en-US"/>
        </w:rPr>
        <w:t>Agenda Item:</w:t>
      </w:r>
      <w:r w:rsidRPr="00A10B70">
        <w:rPr>
          <w:sz w:val="22"/>
          <w:szCs w:val="22"/>
          <w:lang w:val="en-US"/>
        </w:rPr>
        <w:tab/>
      </w:r>
      <w:r w:rsidR="003A368D">
        <w:rPr>
          <w:sz w:val="22"/>
          <w:szCs w:val="22"/>
          <w:lang w:val="en-US"/>
        </w:rPr>
        <w:t>10.</w:t>
      </w:r>
      <w:r w:rsidR="00F27E6A">
        <w:rPr>
          <w:sz w:val="22"/>
          <w:szCs w:val="22"/>
          <w:lang w:val="en-US"/>
        </w:rPr>
        <w:t>4</w:t>
      </w:r>
      <w:r w:rsidR="003A368D">
        <w:rPr>
          <w:sz w:val="22"/>
          <w:szCs w:val="22"/>
          <w:lang w:val="en-US"/>
        </w:rPr>
        <w:t>.1.2</w:t>
      </w:r>
    </w:p>
    <w:p w14:paraId="65F26C4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30383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D75E3">
        <w:rPr>
          <w:sz w:val="22"/>
          <w:szCs w:val="22"/>
        </w:rPr>
        <w:t>PCell change procedure</w:t>
      </w:r>
      <w:r w:rsidR="00F14128">
        <w:rPr>
          <w:sz w:val="22"/>
          <w:szCs w:val="22"/>
        </w:rPr>
        <w:t xml:space="preserve"> for </w:t>
      </w:r>
      <w:r w:rsidR="00CC35AF">
        <w:rPr>
          <w:sz w:val="22"/>
          <w:szCs w:val="22"/>
        </w:rPr>
        <w:t>CA in</w:t>
      </w:r>
      <w:r w:rsidR="00690DB5">
        <w:rPr>
          <w:sz w:val="22"/>
          <w:szCs w:val="22"/>
        </w:rPr>
        <w:t xml:space="preserve"> NR</w:t>
      </w:r>
    </w:p>
    <w:p w14:paraId="74EA0CDE"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51FC8DE5" w14:textId="77777777" w:rsidR="00E90E49" w:rsidRDefault="00E90E49" w:rsidP="00CE0424">
      <w:pPr>
        <w:pStyle w:val="Heading1"/>
      </w:pPr>
      <w:r w:rsidRPr="00CE0424">
        <w:t>Introduction</w:t>
      </w:r>
    </w:p>
    <w:p w14:paraId="5CB8FEF5" w14:textId="535413AC" w:rsidR="00727BD9" w:rsidRDefault="00727BD9" w:rsidP="00727BD9">
      <w:r>
        <w:t xml:space="preserve">In LTE, change of PCell is handled with RRC connection reconfiguration procedure with </w:t>
      </w:r>
      <w:r w:rsidRPr="005700C4">
        <w:rPr>
          <w:i/>
        </w:rPr>
        <w:t>MobilityControlInfo</w:t>
      </w:r>
      <w:r w:rsidR="00F42E5E">
        <w:t>,</w:t>
      </w:r>
      <w:r>
        <w:t xml:space="preserve"> </w:t>
      </w:r>
      <w:r w:rsidR="00F42E5E">
        <w:t>a</w:t>
      </w:r>
      <w:r>
        <w:t>lso known as handover procedure. The procedure involves re-establishment of PDCP and RLC entities and MAC entity reset. In the RAN2#96 meeting, it was agreed to support RRC involved handover with and without PDCP entity re-establishment, pending agreement from SA3 that handover without security key change is acceptable. Furthermore, LTE Rel-14 WI on handover enhancements introduced functionality in LTE to support RACH-less handover.</w:t>
      </w:r>
    </w:p>
    <w:p w14:paraId="19E40918" w14:textId="1B85CD0E" w:rsidR="00112F08" w:rsidRDefault="00426903" w:rsidP="00112F08">
      <w:r>
        <w:t xml:space="preserve">In this paper, we will discuss the necessity not to use the full set mobility procedure </w:t>
      </w:r>
      <w:r w:rsidR="00727BD9">
        <w:t>for the</w:t>
      </w:r>
      <w:r>
        <w:t xml:space="preserve"> </w:t>
      </w:r>
      <w:r w:rsidR="004B45F9">
        <w:t>PCell (</w:t>
      </w:r>
      <w:r>
        <w:t xml:space="preserve">Primary </w:t>
      </w:r>
      <w:r w:rsidR="004B45F9">
        <w:t>C</w:t>
      </w:r>
      <w:r>
        <w:t>ell</w:t>
      </w:r>
      <w:r w:rsidR="004B45F9">
        <w:t>)</w:t>
      </w:r>
      <w:r>
        <w:t xml:space="preserve"> change procedure</w:t>
      </w:r>
      <w:r w:rsidR="00727BD9">
        <w:t>, for the case where UE is configured with CA and the node is not changed</w:t>
      </w:r>
      <w:r>
        <w:t>.</w:t>
      </w:r>
      <w:r w:rsidR="00E0117C">
        <w:t xml:space="preserve"> </w:t>
      </w:r>
    </w:p>
    <w:p w14:paraId="5C3D9191" w14:textId="77777777" w:rsidR="001643A8" w:rsidRDefault="004000E8" w:rsidP="00CE0424">
      <w:pPr>
        <w:pStyle w:val="Heading1"/>
      </w:pPr>
      <w:bookmarkStart w:id="0" w:name="_Ref178064866"/>
      <w:r w:rsidRPr="00CE0424">
        <w:t>Discussion</w:t>
      </w:r>
      <w:bookmarkEnd w:id="0"/>
    </w:p>
    <w:p w14:paraId="41065C31" w14:textId="77777777" w:rsidR="004B45F9" w:rsidRDefault="004B45F9" w:rsidP="004B45F9">
      <w:r>
        <w:t>The reason to propose new handover procedure for NR as discussed in RAN2 96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lang w:val="fi-FI" w:eastAsia="fi-FI"/>
        </w:rPr>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0DD98093" w:rsidR="004B45F9" w:rsidRPr="004B45F9" w:rsidRDefault="005233D0" w:rsidP="004B45F9">
      <w:r>
        <w:t xml:space="preserve">The requirement for </w:t>
      </w:r>
      <w:r w:rsidR="009C7DDE">
        <w:t>a</w:t>
      </w:r>
      <w:r>
        <w:t xml:space="preserve"> new handover procedure is not just from network architecture perspective, it can also come from handover procedure when UE changes its Primary Cell</w:t>
      </w:r>
      <w:r w:rsidR="00C7342B">
        <w:t xml:space="preserve"> in CA (carrier aggregation)</w:t>
      </w:r>
      <w:r>
        <w:t>.</w:t>
      </w:r>
    </w:p>
    <w:p w14:paraId="44F766D3" w14:textId="204788FD" w:rsidR="009652AF" w:rsidRDefault="00E0117C" w:rsidP="00112F08">
      <w:pPr>
        <w:pStyle w:val="BodyText"/>
      </w:pPr>
      <w:r>
        <w:t>In LTE</w:t>
      </w:r>
      <w:r w:rsidR="004C460E">
        <w:t xml:space="preserve"> CA</w:t>
      </w:r>
      <w:r>
        <w:t xml:space="preserve">, </w:t>
      </w:r>
      <w:r w:rsidR="004C460E">
        <w:t xml:space="preserve">there are at least two serving </w:t>
      </w:r>
      <w:r w:rsidR="00A41A4E">
        <w:t>cells</w:t>
      </w:r>
      <w:r w:rsidR="004C460E">
        <w:t xml:space="preserve"> between UE and network. One serving </w:t>
      </w:r>
      <w:r w:rsidR="00A41A4E">
        <w:t>cell</w:t>
      </w:r>
      <w:r w:rsidR="004C460E">
        <w:t xml:space="preserve"> is called P</w:t>
      </w:r>
      <w:r w:rsidR="00A41A4E">
        <w:t>Cell</w:t>
      </w:r>
      <w:r w:rsidR="004C460E">
        <w:t xml:space="preserve"> (Primary C</w:t>
      </w:r>
      <w:r w:rsidR="00A41A4E">
        <w:t>ell</w:t>
      </w:r>
      <w:r w:rsidR="004C460E">
        <w:t>), the remaining are called S</w:t>
      </w:r>
      <w:r w:rsidR="00A41A4E">
        <w:t>Cell</w:t>
      </w:r>
      <w:r w:rsidR="004C460E">
        <w:t xml:space="preserve"> (Secondary </w:t>
      </w:r>
      <w:r w:rsidR="00A41A4E">
        <w:t>Cell</w:t>
      </w:r>
      <w:r w:rsidR="004C460E">
        <w:t xml:space="preserve">). </w:t>
      </w:r>
      <w:r w:rsidR="009C7DDE">
        <w:t>All serving cell</w:t>
      </w:r>
      <w:r w:rsidR="006031B7">
        <w:t>s</w:t>
      </w:r>
      <w:r w:rsidR="009C7DDE">
        <w:t xml:space="preserve"> (PCell, SCell) share the same MAC entity, RLC entity and PDCP entity. </w:t>
      </w:r>
      <w:r w:rsidR="004C460E">
        <w:t>P</w:t>
      </w:r>
      <w:r w:rsidR="00A41A4E">
        <w:t>Cell</w:t>
      </w:r>
      <w:r w:rsidR="004C460E">
        <w:t xml:space="preserve"> is tied with control plane related functionalities, </w:t>
      </w:r>
      <w:r w:rsidR="009652AF">
        <w:t>including</w:t>
      </w:r>
    </w:p>
    <w:p w14:paraId="623096E6" w14:textId="77777777" w:rsidR="009652AF" w:rsidRDefault="009652AF" w:rsidP="009652AF">
      <w:pPr>
        <w:pStyle w:val="BodyText"/>
        <w:numPr>
          <w:ilvl w:val="0"/>
          <w:numId w:val="16"/>
        </w:numPr>
      </w:pPr>
      <w:r>
        <w:lastRenderedPageBreak/>
        <w:t>PCI of P</w:t>
      </w:r>
      <w:r w:rsidR="00A41A4E">
        <w:t>Cell</w:t>
      </w:r>
      <w:r>
        <w:t xml:space="preserve"> is the input parameter to generate </w:t>
      </w:r>
      <w:r w:rsidR="004C460E">
        <w:t xml:space="preserve">security </w:t>
      </w:r>
      <w:r>
        <w:t xml:space="preserve">KEY. </w:t>
      </w:r>
    </w:p>
    <w:p w14:paraId="7D19E51F" w14:textId="77777777" w:rsidR="009652AF" w:rsidRDefault="009652AF" w:rsidP="009652AF">
      <w:pPr>
        <w:pStyle w:val="BodyText"/>
        <w:numPr>
          <w:ilvl w:val="0"/>
          <w:numId w:val="16"/>
        </w:numPr>
      </w:pPr>
      <w:r>
        <w:t>P</w:t>
      </w:r>
      <w:r w:rsidR="00A41A4E">
        <w:t>Cell provide mobility related</w:t>
      </w:r>
      <w:r>
        <w:t xml:space="preserve"> input parameter for NAS message</w:t>
      </w:r>
    </w:p>
    <w:p w14:paraId="6577C1DB" w14:textId="77777777" w:rsidR="009652AF" w:rsidRDefault="009652AF" w:rsidP="009652AF">
      <w:pPr>
        <w:pStyle w:val="BodyText"/>
        <w:numPr>
          <w:ilvl w:val="0"/>
          <w:numId w:val="16"/>
        </w:numPr>
      </w:pPr>
      <w:r>
        <w:t>RLF detection and judgment is based on PC</w:t>
      </w:r>
      <w:r w:rsidR="00A41A4E">
        <w:t>ell</w:t>
      </w:r>
    </w:p>
    <w:p w14:paraId="3E54E878" w14:textId="77777777" w:rsidR="009652AF" w:rsidRDefault="009652AF" w:rsidP="009652AF">
      <w:pPr>
        <w:pStyle w:val="BodyText"/>
        <w:numPr>
          <w:ilvl w:val="0"/>
          <w:numId w:val="16"/>
        </w:numPr>
      </w:pPr>
      <w:r>
        <w:t>PUCCH is on PC</w:t>
      </w:r>
      <w:r w:rsidR="00A41A4E">
        <w:t>ell</w:t>
      </w:r>
      <w:r w:rsidR="00247E1B">
        <w:t xml:space="preserve"> (</w:t>
      </w:r>
      <w:r w:rsidR="004B45F9">
        <w:t>PUCCH can also be on one SCell from</w:t>
      </w:r>
      <w:r w:rsidR="00247E1B">
        <w:t xml:space="preserve"> Rel-13)</w:t>
      </w:r>
    </w:p>
    <w:p w14:paraId="5A670B60" w14:textId="77777777" w:rsidR="009652AF" w:rsidRDefault="00247E1B" w:rsidP="009652AF">
      <w:pPr>
        <w:pStyle w:val="BodyText"/>
        <w:numPr>
          <w:ilvl w:val="0"/>
          <w:numId w:val="16"/>
        </w:numPr>
      </w:pPr>
      <w:r>
        <w:t xml:space="preserve">RAR is sent on the </w:t>
      </w:r>
      <w:r w:rsidR="009652AF">
        <w:t>PC</w:t>
      </w:r>
      <w:r w:rsidR="00A41A4E">
        <w:t>ell</w:t>
      </w:r>
    </w:p>
    <w:p w14:paraId="3E2C3C2A" w14:textId="77777777" w:rsidR="009652AF" w:rsidRDefault="009652AF" w:rsidP="009652AF">
      <w:pPr>
        <w:pStyle w:val="BodyText"/>
        <w:numPr>
          <w:ilvl w:val="0"/>
          <w:numId w:val="16"/>
        </w:numPr>
      </w:pPr>
      <w:r>
        <w:t>PC</w:t>
      </w:r>
      <w:r w:rsidR="00A41A4E">
        <w:t>ell</w:t>
      </w:r>
      <w:r>
        <w:t xml:space="preserve"> can only be changed via handover procedure, i.e. with security KEY change and random access procedure in new PC</w:t>
      </w:r>
      <w:r w:rsidR="00A41A4E">
        <w:t>ell</w:t>
      </w:r>
    </w:p>
    <w:p w14:paraId="420CEC60" w14:textId="0ACF3FDD" w:rsidR="00EA7221" w:rsidRDefault="008E716F" w:rsidP="005233D0">
      <w:pPr>
        <w:pStyle w:val="BodyText"/>
      </w:pPr>
      <w:r>
        <w:t xml:space="preserve">As can be seen, </w:t>
      </w:r>
      <w:r w:rsidR="009C7DDE">
        <w:t>i</w:t>
      </w:r>
      <w:r w:rsidR="00B50795">
        <w:t>f PC</w:t>
      </w:r>
      <w:r w:rsidR="00A41A4E">
        <w:t>ell</w:t>
      </w:r>
      <w:r w:rsidR="00B50795">
        <w:t xml:space="preserve"> need</w:t>
      </w:r>
      <w:r w:rsidR="006031B7">
        <w:t>s to</w:t>
      </w:r>
      <w:r w:rsidR="00B50795">
        <w:t xml:space="preserve"> be changed, </w:t>
      </w:r>
      <w:r w:rsidR="006031B7">
        <w:t xml:space="preserve">a </w:t>
      </w:r>
      <w:r w:rsidR="00B50795">
        <w:t>handover procedure is needed and during this period, data transmission between UE and network will be interrupted</w:t>
      </w:r>
      <w:r w:rsidR="009C7DDE">
        <w:t xml:space="preserve"> as during handover procedure security KEY will be changed, MAC need to be reset, RLC and PDCP need to be re-established</w:t>
      </w:r>
      <w:r w:rsidR="00B50795">
        <w:t>.</w:t>
      </w:r>
    </w:p>
    <w:p w14:paraId="04D505E8" w14:textId="77777777" w:rsidR="003F7B8C" w:rsidRDefault="00B91D20" w:rsidP="009652AF">
      <w:pPr>
        <w:pStyle w:val="BodyText"/>
      </w:pPr>
      <w:r>
        <w:t>Actually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A neighbor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6B3BEDE9" w14:textId="3EBD4ECF" w:rsidR="00B91D20" w:rsidRDefault="00873E4C" w:rsidP="003F7B8C">
      <w:pPr>
        <w:pStyle w:val="BodyText"/>
      </w:pPr>
      <w:r>
        <w:t>For both cas</w:t>
      </w:r>
      <w:r w:rsidR="00A41A4E">
        <w:t xml:space="preserve">e 1 and case 2, as </w:t>
      </w:r>
      <w:r w:rsidR="00741206">
        <w:t xml:space="preserve">at least </w:t>
      </w:r>
      <w:r w:rsidR="00A41A4E">
        <w:t xml:space="preserve">one </w:t>
      </w:r>
      <w:r w:rsidR="00741206">
        <w:t>"</w:t>
      </w:r>
      <w:r w:rsidR="00A41A4E">
        <w:t xml:space="preserve">serving </w:t>
      </w:r>
      <w:r w:rsidR="00741206">
        <w:t>cell" remains during the procedure</w:t>
      </w:r>
      <w:r>
        <w:t>,</w:t>
      </w:r>
      <w:r w:rsidR="005233D0">
        <w:t xml:space="preserve"> which actually means </w:t>
      </w:r>
      <w:r w:rsidR="00885FD0">
        <w:t>MAC, RLC and PDCP entity does not need to be changed</w:t>
      </w:r>
      <w:r w:rsidR="009C7DDE">
        <w:t xml:space="preserve"> and therefore a simplified PCell change procedure is motivated.</w:t>
      </w:r>
      <w:r w:rsidR="00885FD0">
        <w:t xml:space="preserve"> </w:t>
      </w:r>
      <w:r w:rsidR="00A86555">
        <w:t>F</w:t>
      </w:r>
      <w:r w:rsidR="00D76228">
        <w:t xml:space="preserve">or both case 1 and case 2, </w:t>
      </w:r>
      <w:r w:rsidR="00A41A4E">
        <w:t xml:space="preserve">the </w:t>
      </w:r>
      <w:r w:rsidR="00041C0A">
        <w:t>expected</w:t>
      </w:r>
      <w:r w:rsidR="00A41A4E">
        <w:t xml:space="preserve"> </w:t>
      </w:r>
      <w:r w:rsidR="00A86555">
        <w:t>handover procedure</w:t>
      </w:r>
      <w:r w:rsidR="00A41A4E">
        <w:t xml:space="preserve"> is</w:t>
      </w:r>
      <w:r w:rsidR="00570E48">
        <w:t xml:space="preserve"> at least</w:t>
      </w:r>
      <w:r w:rsidR="00A41A4E">
        <w:t xml:space="preserve"> </w:t>
      </w:r>
      <w:r w:rsidR="00D76228">
        <w:t xml:space="preserve">not to </w:t>
      </w:r>
      <w:r w:rsidR="00EA7221">
        <w:t xml:space="preserve">reset MAC, re-establish RLC and PDCP, </w:t>
      </w:r>
      <w:r w:rsidR="00D76228">
        <w:t xml:space="preserve">and change </w:t>
      </w:r>
      <w:r w:rsidR="00725145">
        <w:t>security KEY</w:t>
      </w:r>
      <w:r w:rsidR="00D76228">
        <w:t xml:space="preserve">. </w:t>
      </w:r>
      <w:r w:rsidR="00570E48">
        <w:t>The difference between case 1 and case 2 is that for case 2 random access procedure is needed to establish DL and UL timing synchronization for new PC</w:t>
      </w:r>
      <w:r w:rsidR="00A86555">
        <w:t>ell</w:t>
      </w:r>
      <w:r w:rsidR="00570E48">
        <w:t>, while for case 1 random access procedure may not be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 as SCell</w:t>
      </w:r>
      <w:r w:rsidR="00570E48">
        <w:t xml:space="preserve">. </w:t>
      </w:r>
      <w:r w:rsidR="00B91D20">
        <w:t xml:space="preserve">However, another purpose of random access procedure is to sync network and UE behaviour to apply new configurations obtained in RRC reconfiguration message. If the configurations in RRC message do not </w:t>
      </w:r>
      <w:r w:rsidR="000F320E">
        <w:t>configure</w:t>
      </w:r>
      <w:r w:rsidR="00B91D20">
        <w:t xml:space="preserve"> something that affect data transmission/reception, </w:t>
      </w:r>
      <w:r w:rsidR="00E60F2D">
        <w:t xml:space="preserve">e.g. new uplink control channel, </w:t>
      </w:r>
      <w:r w:rsidR="00B91D20">
        <w:t>then it is possible to avoid random access procedure</w:t>
      </w:r>
      <w:r w:rsidR="000F320E">
        <w:t xml:space="preserve"> as well</w:t>
      </w:r>
      <w:r w:rsidR="00E60F2D">
        <w:t>. T</w:t>
      </w:r>
      <w:r w:rsidR="000F320E">
        <w:t>hen it is pos</w:t>
      </w:r>
      <w:bookmarkStart w:id="1" w:name="_GoBack"/>
      <w:bookmarkEnd w:id="1"/>
      <w:r w:rsidR="000F320E">
        <w:t>sible to sustain data transmission/reception during PC</w:t>
      </w:r>
      <w:r w:rsidR="006031B7">
        <w:t>ell</w:t>
      </w:r>
      <w:r w:rsidR="000F320E">
        <w:t xml:space="preserve"> change</w:t>
      </w:r>
      <w:r w:rsidR="00B91D20">
        <w:t>.</w:t>
      </w:r>
    </w:p>
    <w:p w14:paraId="752303D8" w14:textId="77777777" w:rsidR="0065535A" w:rsidRDefault="00BC11F5" w:rsidP="00112F08">
      <w:pPr>
        <w:pStyle w:val="BodyText"/>
      </w:pPr>
      <w:r>
        <w:t>Therefore we propose</w:t>
      </w:r>
      <w:r w:rsidR="003221E1">
        <w:t xml:space="preserve"> </w:t>
      </w:r>
    </w:p>
    <w:p w14:paraId="5B576D94" w14:textId="36AAA646" w:rsidR="00A34F7A" w:rsidRDefault="00A86555" w:rsidP="000F320E">
      <w:pPr>
        <w:pStyle w:val="Proposal"/>
      </w:pPr>
      <w:bookmarkStart w:id="2" w:name="_Toc450908184"/>
      <w:bookmarkStart w:id="3" w:name="_Toc450908205"/>
      <w:bookmarkStart w:id="4" w:name="_Toc450939668"/>
      <w:bookmarkStart w:id="5" w:name="_Toc450936515"/>
      <w:bookmarkStart w:id="6" w:name="_Toc457832050"/>
      <w:bookmarkStart w:id="7" w:name="_Toc457832079"/>
      <w:bookmarkStart w:id="8" w:name="_Toc458792275"/>
      <w:bookmarkStart w:id="9" w:name="_Toc478163821"/>
      <w:r>
        <w:t>For PCell change procedure</w:t>
      </w:r>
      <w:r w:rsidR="00C7342B">
        <w:t xml:space="preserve"> in NR</w:t>
      </w:r>
      <w:r>
        <w:t>, if at least one Serving Cell remains after PCell is changed, it is not necessary to reset MAC, re-establish RLC, PDCP and change security KEY.</w:t>
      </w:r>
      <w:bookmarkEnd w:id="9"/>
      <w:r>
        <w:t xml:space="preserve"> </w:t>
      </w:r>
      <w:bookmarkEnd w:id="2"/>
      <w:bookmarkEnd w:id="3"/>
      <w:bookmarkEnd w:id="4"/>
      <w:bookmarkEnd w:id="5"/>
      <w:bookmarkEnd w:id="6"/>
      <w:bookmarkEnd w:id="7"/>
      <w:bookmarkEnd w:id="8"/>
    </w:p>
    <w:p w14:paraId="4413A733" w14:textId="77777777" w:rsidR="00C01F33" w:rsidRDefault="00C01F33" w:rsidP="00CE0424">
      <w:pPr>
        <w:pStyle w:val="Heading1"/>
      </w:pPr>
      <w:r w:rsidRPr="00CE0424">
        <w:t>Conclusion</w:t>
      </w:r>
    </w:p>
    <w:p w14:paraId="3C097730" w14:textId="01972B1E" w:rsidR="00F95074" w:rsidRDefault="00E9561F" w:rsidP="00B2782B">
      <w:r>
        <w:t xml:space="preserve">In this contribution we have discuss the need to aggregate carriers in NR. </w:t>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w:t>
      </w:r>
      <w:r w:rsidR="00A86555">
        <w:t>e</w:t>
      </w:r>
      <w:r w:rsidRPr="00CE0424">
        <w:t xml:space="preserve"> the following:</w:t>
      </w:r>
    </w:p>
    <w:sdt>
      <w:sdtPr>
        <w:rPr>
          <w:b w:val="0"/>
          <w:noProof w:val="0"/>
          <w:szCs w:val="20"/>
          <w:lang w:val="en-GB"/>
        </w:rPr>
        <w:id w:val="-1334455992"/>
        <w:docPartObj>
          <w:docPartGallery w:val="Table of Contents"/>
          <w:docPartUnique/>
        </w:docPartObj>
      </w:sdtPr>
      <w:sdtEndPr>
        <w:rPr>
          <w:b/>
        </w:rPr>
      </w:sdtEndPr>
      <w:sdtContent>
        <w:p w14:paraId="04C13B6A" w14:textId="77777777" w:rsidR="00871662" w:rsidRDefault="00F95074">
          <w:pPr>
            <w:pStyle w:val="TOC1"/>
            <w:rPr>
              <w:rFonts w:asciiTheme="minorHAnsi" w:eastAsiaTheme="minorEastAsia" w:hAnsiTheme="minorHAnsi" w:cstheme="minorBidi"/>
              <w:b w:val="0"/>
              <w:sz w:val="22"/>
              <w:lang w:val="fi-FI" w:eastAsia="fi-FI"/>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8163821" w:history="1">
            <w:r w:rsidR="00871662" w:rsidRPr="008C2719">
              <w:rPr>
                <w:rStyle w:val="Hyperlink"/>
              </w:rPr>
              <w:t>Proposal 1</w:t>
            </w:r>
            <w:r w:rsidR="00871662">
              <w:rPr>
                <w:rFonts w:asciiTheme="minorHAnsi" w:eastAsiaTheme="minorEastAsia" w:hAnsiTheme="minorHAnsi" w:cstheme="minorBidi"/>
                <w:b w:val="0"/>
                <w:sz w:val="22"/>
                <w:lang w:val="fi-FI" w:eastAsia="fi-FI"/>
              </w:rPr>
              <w:tab/>
            </w:r>
            <w:r w:rsidR="00871662" w:rsidRPr="008C2719">
              <w:rPr>
                <w:rStyle w:val="Hyperlink"/>
              </w:rPr>
              <w:t>For PCell change procedure in NR, if at least one Serving Cell remains after PCell is changed, it is not necessary to reset MAC, re-establish RLC, PDCP and change security KEY.</w:t>
            </w:r>
          </w:hyperlink>
        </w:p>
        <w:p w14:paraId="4A22D2B6" w14:textId="733649FC" w:rsidR="008041C2" w:rsidRPr="00F95074" w:rsidRDefault="00F95074" w:rsidP="00871662">
          <w:r>
            <w:rPr>
              <w:b/>
            </w:rPr>
            <w:fldChar w:fldCharType="end"/>
          </w:r>
        </w:p>
      </w:sdtContent>
    </w:sdt>
    <w:bookmarkStart w:id="10" w:name="_In-sequence_SDU_delivery" w:displacedByCustomXml="prev"/>
    <w:bookmarkEnd w:id="10" w:displacedByCustomXml="prev"/>
    <w:bookmarkStart w:id="11" w:name="_Toc450908196" w:displacedByCustomXml="prev"/>
    <w:bookmarkEnd w:id="11" w:displacedByCustomXml="prev"/>
    <w:sectPr w:rsidR="008041C2" w:rsidRPr="00F950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B6A43" w14:textId="77777777" w:rsidR="00B9404A" w:rsidRDefault="00B9404A">
      <w:r>
        <w:separator/>
      </w:r>
    </w:p>
  </w:endnote>
  <w:endnote w:type="continuationSeparator" w:id="0">
    <w:p w14:paraId="10C877A8" w14:textId="77777777" w:rsidR="00B9404A" w:rsidRDefault="00B9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52350E6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166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166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71245" w14:textId="77777777" w:rsidR="00B9404A" w:rsidRDefault="00B9404A">
      <w:r>
        <w:separator/>
      </w:r>
    </w:p>
  </w:footnote>
  <w:footnote w:type="continuationSeparator" w:id="0">
    <w:p w14:paraId="59693890" w14:textId="77777777" w:rsidR="00B9404A" w:rsidRDefault="00B9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8"/>
    <w:lvlOverride w:ilvl="0">
      <w:startOverride w:val="1"/>
    </w:lvlOverride>
  </w:num>
  <w:num w:numId="15">
    <w:abstractNumId w:val="12"/>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5"/>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221"/>
    <w:rsid w:val="00126B4A"/>
    <w:rsid w:val="00132FD0"/>
    <w:rsid w:val="001344C0"/>
    <w:rsid w:val="001346FA"/>
    <w:rsid w:val="00135252"/>
    <w:rsid w:val="00137AB5"/>
    <w:rsid w:val="00137F0B"/>
    <w:rsid w:val="00151E23"/>
    <w:rsid w:val="001526E0"/>
    <w:rsid w:val="001551B5"/>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52C3"/>
    <w:rsid w:val="00225C54"/>
    <w:rsid w:val="00230765"/>
    <w:rsid w:val="002319E4"/>
    <w:rsid w:val="00235632"/>
    <w:rsid w:val="00235872"/>
    <w:rsid w:val="00241559"/>
    <w:rsid w:val="0024275B"/>
    <w:rsid w:val="002435B3"/>
    <w:rsid w:val="002458EB"/>
    <w:rsid w:val="00247A7E"/>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4579"/>
    <w:rsid w:val="00335858"/>
    <w:rsid w:val="00336BDA"/>
    <w:rsid w:val="00342BD7"/>
    <w:rsid w:val="00343A07"/>
    <w:rsid w:val="00346DB5"/>
    <w:rsid w:val="003477B1"/>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5F3A"/>
    <w:rsid w:val="004669E2"/>
    <w:rsid w:val="00470C31"/>
    <w:rsid w:val="004734D0"/>
    <w:rsid w:val="0047556B"/>
    <w:rsid w:val="00477768"/>
    <w:rsid w:val="00484514"/>
    <w:rsid w:val="00492B32"/>
    <w:rsid w:val="00492BC5"/>
    <w:rsid w:val="004964F1"/>
    <w:rsid w:val="004A16BC"/>
    <w:rsid w:val="004A2B94"/>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53A7"/>
    <w:rsid w:val="005219CF"/>
    <w:rsid w:val="005233D0"/>
    <w:rsid w:val="00534B59"/>
    <w:rsid w:val="00536759"/>
    <w:rsid w:val="00537C62"/>
    <w:rsid w:val="00546970"/>
    <w:rsid w:val="00554E19"/>
    <w:rsid w:val="0056121F"/>
    <w:rsid w:val="005700C4"/>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BD9"/>
    <w:rsid w:val="00727F66"/>
    <w:rsid w:val="00732579"/>
    <w:rsid w:val="007348B1"/>
    <w:rsid w:val="00734B23"/>
    <w:rsid w:val="007362A6"/>
    <w:rsid w:val="00736B85"/>
    <w:rsid w:val="00736D7D"/>
    <w:rsid w:val="0074070A"/>
    <w:rsid w:val="00740E58"/>
    <w:rsid w:val="00741206"/>
    <w:rsid w:val="007445A0"/>
    <w:rsid w:val="0074524B"/>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E25"/>
    <w:rsid w:val="007B0C34"/>
    <w:rsid w:val="007B3D2D"/>
    <w:rsid w:val="007B50AE"/>
    <w:rsid w:val="007B51DF"/>
    <w:rsid w:val="007C05DD"/>
    <w:rsid w:val="007C25B7"/>
    <w:rsid w:val="007C3D18"/>
    <w:rsid w:val="007C60BF"/>
    <w:rsid w:val="007C6A07"/>
    <w:rsid w:val="007C75A1"/>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662"/>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62AAA"/>
    <w:rsid w:val="00B664C7"/>
    <w:rsid w:val="00B739F6"/>
    <w:rsid w:val="00B81A6C"/>
    <w:rsid w:val="00B84690"/>
    <w:rsid w:val="00B85DE5"/>
    <w:rsid w:val="00B90291"/>
    <w:rsid w:val="00B90F73"/>
    <w:rsid w:val="00B91D20"/>
    <w:rsid w:val="00B93B59"/>
    <w:rsid w:val="00B9404A"/>
    <w:rsid w:val="00B9406A"/>
    <w:rsid w:val="00BA2280"/>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3C4B"/>
    <w:rsid w:val="00C944AB"/>
    <w:rsid w:val="00C95763"/>
    <w:rsid w:val="00C95B40"/>
    <w:rsid w:val="00CA1ED8"/>
    <w:rsid w:val="00CB1F63"/>
    <w:rsid w:val="00CB2B23"/>
    <w:rsid w:val="00CB7170"/>
    <w:rsid w:val="00CC040E"/>
    <w:rsid w:val="00CC111F"/>
    <w:rsid w:val="00CC2011"/>
    <w:rsid w:val="00CC35A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E4E"/>
    <w:rsid w:val="00D239A7"/>
    <w:rsid w:val="00D23F47"/>
    <w:rsid w:val="00D3005B"/>
    <w:rsid w:val="00D30297"/>
    <w:rsid w:val="00D36E71"/>
    <w:rsid w:val="00D37D87"/>
    <w:rsid w:val="00D40B33"/>
    <w:rsid w:val="00D4318F"/>
    <w:rsid w:val="00D438BF"/>
    <w:rsid w:val="00D440F8"/>
    <w:rsid w:val="00D538CD"/>
    <w:rsid w:val="00D546FF"/>
    <w:rsid w:val="00D55AD5"/>
    <w:rsid w:val="00D573DB"/>
    <w:rsid w:val="00D576CA"/>
    <w:rsid w:val="00D60E13"/>
    <w:rsid w:val="00D61AF5"/>
    <w:rsid w:val="00D62CD5"/>
    <w:rsid w:val="00D6435F"/>
    <w:rsid w:val="00D652B5"/>
    <w:rsid w:val="00D66155"/>
    <w:rsid w:val="00D677B1"/>
    <w:rsid w:val="00D708B0"/>
    <w:rsid w:val="00D76228"/>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27E6A"/>
    <w:rsid w:val="00F30828"/>
    <w:rsid w:val="00F313D6"/>
    <w:rsid w:val="00F337B3"/>
    <w:rsid w:val="00F40F0C"/>
    <w:rsid w:val="00F42E5E"/>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2BB3"/>
    <w:rsid w:val="00FB4C80"/>
    <w:rsid w:val="00FB6A6A"/>
    <w:rsid w:val="00FC4AD0"/>
    <w:rsid w:val="00FC7429"/>
    <w:rsid w:val="00FD07F6"/>
    <w:rsid w:val="00FD0D40"/>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5C948"/>
  <w15:docId w15:val="{2924A967-245A-45D8-B5AD-152581B86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42E5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42E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2E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2E5E"/>
    <w:pPr>
      <w:numPr>
        <w:ilvl w:val="2"/>
      </w:numPr>
      <w:spacing w:before="120"/>
      <w:outlineLvl w:val="2"/>
    </w:pPr>
    <w:rPr>
      <w:sz w:val="28"/>
      <w:szCs w:val="28"/>
    </w:rPr>
  </w:style>
  <w:style w:type="paragraph" w:styleId="Heading4">
    <w:name w:val="heading 4"/>
    <w:basedOn w:val="Heading3"/>
    <w:next w:val="Normal"/>
    <w:qFormat/>
    <w:rsid w:val="00F42E5E"/>
    <w:pPr>
      <w:numPr>
        <w:ilvl w:val="3"/>
      </w:numPr>
      <w:outlineLvl w:val="3"/>
    </w:pPr>
    <w:rPr>
      <w:sz w:val="24"/>
      <w:szCs w:val="24"/>
    </w:rPr>
  </w:style>
  <w:style w:type="paragraph" w:styleId="Heading5">
    <w:name w:val="heading 5"/>
    <w:basedOn w:val="Heading4"/>
    <w:next w:val="Normal"/>
    <w:qFormat/>
    <w:rsid w:val="00F42E5E"/>
    <w:pPr>
      <w:numPr>
        <w:ilvl w:val="4"/>
      </w:numPr>
      <w:outlineLvl w:val="4"/>
    </w:pPr>
    <w:rPr>
      <w:sz w:val="22"/>
      <w:szCs w:val="22"/>
    </w:rPr>
  </w:style>
  <w:style w:type="paragraph" w:styleId="Heading6">
    <w:name w:val="heading 6"/>
    <w:basedOn w:val="Normal"/>
    <w:next w:val="Normal"/>
    <w:qFormat/>
    <w:rsid w:val="00F42E5E"/>
    <w:pPr>
      <w:keepNext/>
      <w:keepLines/>
      <w:numPr>
        <w:ilvl w:val="5"/>
        <w:numId w:val="1"/>
      </w:numPr>
      <w:spacing w:before="120"/>
      <w:outlineLvl w:val="5"/>
    </w:pPr>
    <w:rPr>
      <w:rFonts w:cs="Arial"/>
    </w:rPr>
  </w:style>
  <w:style w:type="paragraph" w:styleId="Heading7">
    <w:name w:val="heading 7"/>
    <w:basedOn w:val="Normal"/>
    <w:next w:val="Normal"/>
    <w:qFormat/>
    <w:rsid w:val="00F42E5E"/>
    <w:pPr>
      <w:keepNext/>
      <w:keepLines/>
      <w:numPr>
        <w:ilvl w:val="6"/>
        <w:numId w:val="1"/>
      </w:numPr>
      <w:spacing w:before="120"/>
      <w:outlineLvl w:val="6"/>
    </w:pPr>
    <w:rPr>
      <w:rFonts w:cs="Arial"/>
    </w:rPr>
  </w:style>
  <w:style w:type="paragraph" w:styleId="Heading8">
    <w:name w:val="heading 8"/>
    <w:basedOn w:val="Heading7"/>
    <w:next w:val="Normal"/>
    <w:qFormat/>
    <w:rsid w:val="00F42E5E"/>
    <w:pPr>
      <w:numPr>
        <w:ilvl w:val="7"/>
      </w:numPr>
      <w:outlineLvl w:val="7"/>
    </w:pPr>
  </w:style>
  <w:style w:type="paragraph" w:styleId="Heading9">
    <w:name w:val="heading 9"/>
    <w:basedOn w:val="Heading8"/>
    <w:next w:val="Normal"/>
    <w:qFormat/>
    <w:rsid w:val="00F42E5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42E5E"/>
    <w:pPr>
      <w:spacing w:before="180"/>
      <w:ind w:left="2693" w:hanging="2693"/>
    </w:pPr>
    <w:rPr>
      <w:b w:val="0"/>
      <w:bCs/>
    </w:rPr>
  </w:style>
  <w:style w:type="paragraph" w:styleId="TOC1">
    <w:name w:val="toc 1"/>
    <w:aliases w:val="Observation TOC2"/>
    <w:uiPriority w:val="39"/>
    <w:rsid w:val="00F42E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2E5E"/>
    <w:pPr>
      <w:keepNext/>
      <w:keepLines/>
      <w:spacing w:before="180"/>
      <w:jc w:val="center"/>
    </w:pPr>
  </w:style>
  <w:style w:type="paragraph" w:styleId="Caption">
    <w:name w:val="caption"/>
    <w:basedOn w:val="Normal"/>
    <w:next w:val="Normal"/>
    <w:qFormat/>
    <w:rsid w:val="00F42E5E"/>
    <w:pPr>
      <w:spacing w:after="240"/>
      <w:jc w:val="center"/>
    </w:pPr>
    <w:rPr>
      <w:b/>
      <w:bCs/>
    </w:rPr>
  </w:style>
  <w:style w:type="paragraph" w:styleId="TOC5">
    <w:name w:val="toc 5"/>
    <w:aliases w:val="Observation TOC"/>
    <w:basedOn w:val="TOC4"/>
    <w:semiHidden/>
    <w:rsid w:val="00F42E5E"/>
    <w:pPr>
      <w:tabs>
        <w:tab w:val="right" w:pos="1701"/>
      </w:tabs>
      <w:ind w:left="1701" w:hanging="1701"/>
    </w:pPr>
  </w:style>
  <w:style w:type="paragraph" w:styleId="TOC4">
    <w:name w:val="toc 4"/>
    <w:basedOn w:val="TOC3"/>
    <w:semiHidden/>
    <w:rsid w:val="00F42E5E"/>
    <w:pPr>
      <w:ind w:left="1418" w:hanging="1418"/>
    </w:pPr>
  </w:style>
  <w:style w:type="paragraph" w:styleId="TOC3">
    <w:name w:val="toc 3"/>
    <w:basedOn w:val="TOC2"/>
    <w:semiHidden/>
    <w:rsid w:val="00F42E5E"/>
    <w:pPr>
      <w:ind w:left="1134" w:hanging="1134"/>
    </w:pPr>
  </w:style>
  <w:style w:type="paragraph" w:styleId="TOC2">
    <w:name w:val="toc 2"/>
    <w:basedOn w:val="TOC1"/>
    <w:semiHidden/>
    <w:rsid w:val="00F42E5E"/>
    <w:pPr>
      <w:keepNext w:val="0"/>
      <w:spacing w:before="0"/>
      <w:ind w:left="851" w:hanging="851"/>
    </w:pPr>
    <w:rPr>
      <w:szCs w:val="20"/>
    </w:rPr>
  </w:style>
  <w:style w:type="paragraph" w:styleId="Index2">
    <w:name w:val="index 2"/>
    <w:basedOn w:val="Index1"/>
    <w:semiHidden/>
    <w:rsid w:val="00F42E5E"/>
    <w:pPr>
      <w:ind w:left="284"/>
    </w:pPr>
  </w:style>
  <w:style w:type="paragraph" w:styleId="Index1">
    <w:name w:val="index 1"/>
    <w:basedOn w:val="Normal"/>
    <w:semiHidden/>
    <w:rsid w:val="00F42E5E"/>
    <w:pPr>
      <w:keepLines/>
      <w:spacing w:after="0"/>
    </w:pPr>
  </w:style>
  <w:style w:type="paragraph" w:styleId="DocumentMap">
    <w:name w:val="Document Map"/>
    <w:basedOn w:val="Normal"/>
    <w:semiHidden/>
    <w:rsid w:val="00F42E5E"/>
    <w:pPr>
      <w:shd w:val="clear" w:color="auto" w:fill="000080"/>
    </w:pPr>
    <w:rPr>
      <w:rFonts w:ascii="Tahoma" w:hAnsi="Tahoma" w:cs="Tahoma"/>
    </w:rPr>
  </w:style>
  <w:style w:type="paragraph" w:styleId="ListNumber2">
    <w:name w:val="List Number 2"/>
    <w:basedOn w:val="ListNumber"/>
    <w:rsid w:val="00F42E5E"/>
    <w:pPr>
      <w:ind w:left="851"/>
    </w:pPr>
  </w:style>
  <w:style w:type="paragraph" w:styleId="ListNumber">
    <w:name w:val="List Number"/>
    <w:basedOn w:val="List"/>
    <w:rsid w:val="00F42E5E"/>
  </w:style>
  <w:style w:type="paragraph" w:styleId="List">
    <w:name w:val="List"/>
    <w:basedOn w:val="Normal"/>
    <w:rsid w:val="00F42E5E"/>
    <w:pPr>
      <w:ind w:left="568" w:hanging="284"/>
    </w:pPr>
  </w:style>
  <w:style w:type="paragraph" w:styleId="Header">
    <w:name w:val="header"/>
    <w:rsid w:val="00F42E5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2E5E"/>
    <w:rPr>
      <w:b/>
      <w:bCs/>
      <w:position w:val="6"/>
      <w:sz w:val="16"/>
      <w:szCs w:val="16"/>
    </w:rPr>
  </w:style>
  <w:style w:type="paragraph" w:styleId="FootnoteText">
    <w:name w:val="footnote text"/>
    <w:basedOn w:val="Normal"/>
    <w:semiHidden/>
    <w:rsid w:val="00F42E5E"/>
    <w:pPr>
      <w:keepLines/>
      <w:spacing w:after="0"/>
      <w:ind w:left="454" w:hanging="454"/>
    </w:pPr>
    <w:rPr>
      <w:sz w:val="16"/>
      <w:szCs w:val="16"/>
    </w:rPr>
  </w:style>
  <w:style w:type="paragraph" w:customStyle="1" w:styleId="3GPPHeader">
    <w:name w:val="3GPP_Header"/>
    <w:basedOn w:val="Normal"/>
    <w:rsid w:val="00F42E5E"/>
    <w:pPr>
      <w:tabs>
        <w:tab w:val="left" w:pos="1701"/>
        <w:tab w:val="right" w:pos="9639"/>
      </w:tabs>
      <w:spacing w:after="240"/>
    </w:pPr>
    <w:rPr>
      <w:b/>
      <w:sz w:val="24"/>
    </w:rPr>
  </w:style>
  <w:style w:type="paragraph" w:styleId="TOC9">
    <w:name w:val="toc 9"/>
    <w:basedOn w:val="TOC8"/>
    <w:semiHidden/>
    <w:rsid w:val="00F42E5E"/>
    <w:pPr>
      <w:ind w:left="1418" w:hanging="1418"/>
    </w:pPr>
  </w:style>
  <w:style w:type="paragraph" w:styleId="TOC6">
    <w:name w:val="toc 6"/>
    <w:basedOn w:val="TOC5"/>
    <w:next w:val="Normal"/>
    <w:semiHidden/>
    <w:rsid w:val="00F42E5E"/>
    <w:pPr>
      <w:ind w:left="1985" w:hanging="1985"/>
    </w:pPr>
  </w:style>
  <w:style w:type="paragraph" w:styleId="TOC7">
    <w:name w:val="toc 7"/>
    <w:basedOn w:val="TOC6"/>
    <w:next w:val="Normal"/>
    <w:semiHidden/>
    <w:rsid w:val="00F42E5E"/>
    <w:pPr>
      <w:ind w:left="2268" w:hanging="2268"/>
    </w:pPr>
  </w:style>
  <w:style w:type="paragraph" w:styleId="ListBullet2">
    <w:name w:val="List Bullet 2"/>
    <w:basedOn w:val="ListBullet"/>
    <w:rsid w:val="00F42E5E"/>
    <w:pPr>
      <w:numPr>
        <w:numId w:val="6"/>
      </w:numPr>
    </w:pPr>
  </w:style>
  <w:style w:type="paragraph" w:styleId="ListBullet">
    <w:name w:val="List Bullet"/>
    <w:basedOn w:val="BodyText"/>
    <w:rsid w:val="00F42E5E"/>
    <w:pPr>
      <w:numPr>
        <w:numId w:val="5"/>
      </w:numPr>
    </w:pPr>
  </w:style>
  <w:style w:type="paragraph" w:styleId="ListBullet3">
    <w:name w:val="List Bullet 3"/>
    <w:basedOn w:val="ListBullet2"/>
    <w:rsid w:val="00F42E5E"/>
    <w:pPr>
      <w:numPr>
        <w:numId w:val="7"/>
      </w:numPr>
    </w:pPr>
  </w:style>
  <w:style w:type="paragraph" w:customStyle="1" w:styleId="EQ">
    <w:name w:val="EQ"/>
    <w:basedOn w:val="Normal"/>
    <w:next w:val="Normal"/>
    <w:rsid w:val="00F42E5E"/>
    <w:pPr>
      <w:keepLines/>
      <w:tabs>
        <w:tab w:val="center" w:pos="4536"/>
        <w:tab w:val="right" w:pos="9072"/>
      </w:tabs>
      <w:spacing w:after="180"/>
      <w:jc w:val="left"/>
    </w:pPr>
    <w:rPr>
      <w:noProof/>
      <w:lang w:eastAsia="en-US"/>
    </w:rPr>
  </w:style>
  <w:style w:type="paragraph" w:styleId="List2">
    <w:name w:val="List 2"/>
    <w:basedOn w:val="List"/>
    <w:rsid w:val="00F42E5E"/>
    <w:pPr>
      <w:ind w:left="851"/>
    </w:pPr>
  </w:style>
  <w:style w:type="paragraph" w:styleId="List3">
    <w:name w:val="List 3"/>
    <w:basedOn w:val="List2"/>
    <w:rsid w:val="00F42E5E"/>
    <w:pPr>
      <w:ind w:left="1135"/>
    </w:pPr>
  </w:style>
  <w:style w:type="paragraph" w:styleId="List4">
    <w:name w:val="List 4"/>
    <w:basedOn w:val="List3"/>
    <w:rsid w:val="00F42E5E"/>
    <w:pPr>
      <w:ind w:left="1418"/>
    </w:pPr>
  </w:style>
  <w:style w:type="paragraph" w:styleId="List5">
    <w:name w:val="List 5"/>
    <w:basedOn w:val="List4"/>
    <w:rsid w:val="00F42E5E"/>
    <w:pPr>
      <w:ind w:left="1702"/>
    </w:pPr>
  </w:style>
  <w:style w:type="paragraph" w:customStyle="1" w:styleId="EditorsNote">
    <w:name w:val="Editor's Note"/>
    <w:basedOn w:val="Normal"/>
    <w:rsid w:val="00F42E5E"/>
    <w:pPr>
      <w:keepLines/>
      <w:spacing w:after="180"/>
      <w:ind w:left="1135" w:hanging="851"/>
      <w:jc w:val="left"/>
    </w:pPr>
    <w:rPr>
      <w:color w:val="FF0000"/>
      <w:lang w:eastAsia="en-US"/>
    </w:rPr>
  </w:style>
  <w:style w:type="paragraph" w:styleId="ListBullet4">
    <w:name w:val="List Bullet 4"/>
    <w:basedOn w:val="ListBullet3"/>
    <w:rsid w:val="00F42E5E"/>
    <w:pPr>
      <w:numPr>
        <w:numId w:val="8"/>
      </w:numPr>
    </w:pPr>
  </w:style>
  <w:style w:type="paragraph" w:styleId="ListBullet5">
    <w:name w:val="List Bullet 5"/>
    <w:basedOn w:val="ListBullet4"/>
    <w:rsid w:val="00F42E5E"/>
    <w:pPr>
      <w:numPr>
        <w:numId w:val="4"/>
      </w:numPr>
    </w:pPr>
  </w:style>
  <w:style w:type="paragraph" w:styleId="Footer">
    <w:name w:val="footer"/>
    <w:basedOn w:val="Header"/>
    <w:semiHidden/>
    <w:rsid w:val="00F42E5E"/>
    <w:pPr>
      <w:jc w:val="center"/>
    </w:pPr>
    <w:rPr>
      <w:i/>
      <w:iCs/>
    </w:rPr>
  </w:style>
  <w:style w:type="paragraph" w:customStyle="1" w:styleId="Reference">
    <w:name w:val="Reference"/>
    <w:basedOn w:val="Normal"/>
    <w:rsid w:val="00F42E5E"/>
    <w:pPr>
      <w:numPr>
        <w:numId w:val="2"/>
      </w:numPr>
    </w:pPr>
  </w:style>
  <w:style w:type="paragraph" w:styleId="BalloonText">
    <w:name w:val="Balloon Text"/>
    <w:basedOn w:val="Normal"/>
    <w:semiHidden/>
    <w:rsid w:val="00F42E5E"/>
    <w:rPr>
      <w:rFonts w:ascii="Tahoma" w:hAnsi="Tahoma" w:cs="Tahoma"/>
      <w:sz w:val="16"/>
      <w:szCs w:val="16"/>
    </w:rPr>
  </w:style>
  <w:style w:type="character" w:styleId="PageNumber">
    <w:name w:val="page number"/>
    <w:basedOn w:val="DefaultParagraphFont"/>
    <w:semiHidden/>
    <w:rsid w:val="00F42E5E"/>
  </w:style>
  <w:style w:type="paragraph" w:styleId="BodyText">
    <w:name w:val="Body Text"/>
    <w:basedOn w:val="Normal"/>
    <w:link w:val="BodyTextChar"/>
    <w:rsid w:val="00F42E5E"/>
  </w:style>
  <w:style w:type="character" w:styleId="Hyperlink">
    <w:name w:val="Hyperlink"/>
    <w:uiPriority w:val="99"/>
    <w:rsid w:val="00F42E5E"/>
    <w:rPr>
      <w:color w:val="0000FF"/>
      <w:u w:val="single"/>
      <w:lang w:val="en-GB"/>
    </w:rPr>
  </w:style>
  <w:style w:type="character" w:styleId="FollowedHyperlink">
    <w:name w:val="FollowedHyperlink"/>
    <w:semiHidden/>
    <w:rsid w:val="00F42E5E"/>
    <w:rPr>
      <w:color w:val="FF0000"/>
      <w:u w:val="single"/>
    </w:rPr>
  </w:style>
  <w:style w:type="character" w:styleId="CommentReference">
    <w:name w:val="annotation reference"/>
    <w:semiHidden/>
    <w:rsid w:val="00F42E5E"/>
    <w:rPr>
      <w:sz w:val="16"/>
      <w:szCs w:val="16"/>
    </w:rPr>
  </w:style>
  <w:style w:type="paragraph" w:styleId="CommentText">
    <w:name w:val="annotation text"/>
    <w:basedOn w:val="Normal"/>
    <w:semiHidden/>
    <w:rsid w:val="00F42E5E"/>
  </w:style>
  <w:style w:type="paragraph" w:styleId="CommentSubject">
    <w:name w:val="annotation subject"/>
    <w:basedOn w:val="CommentText"/>
    <w:next w:val="CommentText"/>
    <w:semiHidden/>
    <w:rsid w:val="00F42E5E"/>
    <w:rPr>
      <w:b/>
      <w:bCs/>
    </w:rPr>
  </w:style>
  <w:style w:type="character" w:customStyle="1" w:styleId="Heading1Char">
    <w:name w:val="Heading 1 Char"/>
    <w:link w:val="Heading1"/>
    <w:rsid w:val="00F42E5E"/>
    <w:rPr>
      <w:rFonts w:ascii="Arial" w:hAnsi="Arial" w:cs="Arial"/>
      <w:sz w:val="36"/>
      <w:szCs w:val="36"/>
      <w:lang w:val="en-GB"/>
    </w:rPr>
  </w:style>
  <w:style w:type="paragraph" w:customStyle="1" w:styleId="B1">
    <w:name w:val="B1"/>
    <w:basedOn w:val="List"/>
    <w:rsid w:val="00F42E5E"/>
    <w:pPr>
      <w:spacing w:after="180"/>
      <w:jc w:val="left"/>
    </w:pPr>
    <w:rPr>
      <w:lang w:eastAsia="en-US"/>
    </w:rPr>
  </w:style>
  <w:style w:type="paragraph" w:customStyle="1" w:styleId="B2">
    <w:name w:val="B2"/>
    <w:basedOn w:val="List2"/>
    <w:rsid w:val="00F42E5E"/>
    <w:pPr>
      <w:spacing w:after="180"/>
      <w:jc w:val="left"/>
    </w:pPr>
    <w:rPr>
      <w:lang w:eastAsia="en-US"/>
    </w:rPr>
  </w:style>
  <w:style w:type="paragraph" w:customStyle="1" w:styleId="B3">
    <w:name w:val="B3"/>
    <w:basedOn w:val="List3"/>
    <w:rsid w:val="00F42E5E"/>
    <w:pPr>
      <w:spacing w:after="180"/>
      <w:jc w:val="left"/>
    </w:pPr>
    <w:rPr>
      <w:lang w:eastAsia="en-US"/>
    </w:rPr>
  </w:style>
  <w:style w:type="paragraph" w:customStyle="1" w:styleId="B4">
    <w:name w:val="B4"/>
    <w:basedOn w:val="List4"/>
    <w:rsid w:val="00F42E5E"/>
    <w:pPr>
      <w:spacing w:after="180"/>
      <w:jc w:val="left"/>
    </w:pPr>
    <w:rPr>
      <w:lang w:eastAsia="en-US"/>
    </w:rPr>
  </w:style>
  <w:style w:type="paragraph" w:customStyle="1" w:styleId="Proposal">
    <w:name w:val="Proposal"/>
    <w:basedOn w:val="Normal"/>
    <w:rsid w:val="00F42E5E"/>
    <w:pPr>
      <w:numPr>
        <w:numId w:val="3"/>
      </w:numPr>
      <w:tabs>
        <w:tab w:val="clear" w:pos="1304"/>
        <w:tab w:val="left" w:pos="1701"/>
      </w:tabs>
      <w:ind w:left="1701" w:hanging="1701"/>
    </w:pPr>
    <w:rPr>
      <w:b/>
      <w:bCs/>
    </w:rPr>
  </w:style>
  <w:style w:type="character" w:customStyle="1" w:styleId="BodyTextChar">
    <w:name w:val="Body Text Char"/>
    <w:link w:val="BodyText"/>
    <w:rsid w:val="00F42E5E"/>
    <w:rPr>
      <w:rFonts w:ascii="Arial" w:hAnsi="Arial"/>
      <w:lang w:val="en-GB"/>
    </w:rPr>
  </w:style>
  <w:style w:type="paragraph" w:customStyle="1" w:styleId="B5">
    <w:name w:val="B5"/>
    <w:basedOn w:val="List5"/>
    <w:rsid w:val="00F42E5E"/>
    <w:pPr>
      <w:spacing w:after="180"/>
      <w:jc w:val="left"/>
    </w:pPr>
    <w:rPr>
      <w:lang w:eastAsia="en-US"/>
    </w:rPr>
  </w:style>
  <w:style w:type="paragraph" w:customStyle="1" w:styleId="EX">
    <w:name w:val="EX"/>
    <w:basedOn w:val="Normal"/>
    <w:rsid w:val="00F42E5E"/>
    <w:pPr>
      <w:keepLines/>
      <w:spacing w:after="180"/>
      <w:ind w:left="1702" w:hanging="1418"/>
      <w:jc w:val="left"/>
    </w:pPr>
    <w:rPr>
      <w:lang w:eastAsia="en-US"/>
    </w:rPr>
  </w:style>
  <w:style w:type="paragraph" w:customStyle="1" w:styleId="EW">
    <w:name w:val="EW"/>
    <w:basedOn w:val="EX"/>
    <w:rsid w:val="00F42E5E"/>
    <w:pPr>
      <w:spacing w:after="0"/>
    </w:pPr>
  </w:style>
  <w:style w:type="paragraph" w:customStyle="1" w:styleId="TAL">
    <w:name w:val="TAL"/>
    <w:basedOn w:val="Normal"/>
    <w:rsid w:val="00F42E5E"/>
    <w:pPr>
      <w:keepNext/>
      <w:keepLines/>
      <w:spacing w:after="0"/>
      <w:jc w:val="left"/>
    </w:pPr>
    <w:rPr>
      <w:sz w:val="18"/>
      <w:lang w:eastAsia="en-US"/>
    </w:rPr>
  </w:style>
  <w:style w:type="paragraph" w:customStyle="1" w:styleId="TAC">
    <w:name w:val="TAC"/>
    <w:basedOn w:val="TAL"/>
    <w:rsid w:val="00F42E5E"/>
    <w:pPr>
      <w:jc w:val="center"/>
    </w:pPr>
  </w:style>
  <w:style w:type="paragraph" w:customStyle="1" w:styleId="TAH">
    <w:name w:val="TAH"/>
    <w:basedOn w:val="TAC"/>
    <w:rsid w:val="00F42E5E"/>
    <w:rPr>
      <w:b/>
    </w:rPr>
  </w:style>
  <w:style w:type="paragraph" w:customStyle="1" w:styleId="TAN">
    <w:name w:val="TAN"/>
    <w:basedOn w:val="TAL"/>
    <w:rsid w:val="00F42E5E"/>
    <w:pPr>
      <w:ind w:left="851" w:hanging="851"/>
    </w:pPr>
  </w:style>
  <w:style w:type="paragraph" w:customStyle="1" w:styleId="TAR">
    <w:name w:val="TAR"/>
    <w:basedOn w:val="TAL"/>
    <w:rsid w:val="00F42E5E"/>
    <w:pPr>
      <w:jc w:val="right"/>
    </w:pPr>
  </w:style>
  <w:style w:type="paragraph" w:customStyle="1" w:styleId="TH">
    <w:name w:val="TH"/>
    <w:basedOn w:val="Normal"/>
    <w:rsid w:val="00F42E5E"/>
    <w:pPr>
      <w:keepNext/>
      <w:keepLines/>
      <w:spacing w:before="60" w:after="180"/>
      <w:jc w:val="center"/>
    </w:pPr>
    <w:rPr>
      <w:b/>
      <w:lang w:eastAsia="en-US"/>
    </w:rPr>
  </w:style>
  <w:style w:type="paragraph" w:customStyle="1" w:styleId="TF">
    <w:name w:val="TF"/>
    <w:basedOn w:val="TH"/>
    <w:rsid w:val="00F42E5E"/>
    <w:pPr>
      <w:keepNext w:val="0"/>
      <w:spacing w:before="0" w:after="240"/>
    </w:pPr>
  </w:style>
  <w:style w:type="paragraph" w:customStyle="1" w:styleId="TT">
    <w:name w:val="TT"/>
    <w:basedOn w:val="Heading1"/>
    <w:next w:val="Normal"/>
    <w:rsid w:val="00F42E5E"/>
    <w:pPr>
      <w:numPr>
        <w:numId w:val="0"/>
      </w:numPr>
      <w:ind w:left="1134" w:hanging="1134"/>
      <w:outlineLvl w:val="9"/>
    </w:pPr>
    <w:rPr>
      <w:rFonts w:cs="Times New Roman"/>
      <w:szCs w:val="20"/>
      <w:lang w:eastAsia="en-US"/>
    </w:rPr>
  </w:style>
  <w:style w:type="paragraph" w:customStyle="1" w:styleId="ZA">
    <w:name w:val="ZA"/>
    <w:rsid w:val="00F42E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2E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2E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2E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2E5E"/>
  </w:style>
  <w:style w:type="paragraph" w:customStyle="1" w:styleId="ZH">
    <w:name w:val="ZH"/>
    <w:rsid w:val="00F42E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2E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2E5E"/>
    <w:pPr>
      <w:framePr w:hRule="auto" w:wrap="notBeside" w:y="852"/>
    </w:pPr>
    <w:rPr>
      <w:i w:val="0"/>
      <w:sz w:val="40"/>
    </w:rPr>
  </w:style>
  <w:style w:type="paragraph" w:customStyle="1" w:styleId="ZU">
    <w:name w:val="ZU"/>
    <w:rsid w:val="00F42E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2E5E"/>
    <w:pPr>
      <w:framePr w:wrap="notBeside" w:y="16161"/>
    </w:pPr>
  </w:style>
  <w:style w:type="paragraph" w:customStyle="1" w:styleId="FP">
    <w:name w:val="FP"/>
    <w:basedOn w:val="Normal"/>
    <w:rsid w:val="00F42E5E"/>
    <w:pPr>
      <w:spacing w:after="0"/>
      <w:jc w:val="left"/>
    </w:pPr>
    <w:rPr>
      <w:lang w:eastAsia="en-US"/>
    </w:rPr>
  </w:style>
  <w:style w:type="paragraph" w:customStyle="1" w:styleId="Observation">
    <w:name w:val="Observation"/>
    <w:basedOn w:val="Proposal"/>
    <w:qFormat/>
    <w:rsid w:val="00F42E5E"/>
    <w:pPr>
      <w:numPr>
        <w:numId w:val="13"/>
      </w:numPr>
      <w:ind w:left="1701" w:hanging="1701"/>
    </w:pPr>
  </w:style>
  <w:style w:type="paragraph" w:styleId="TableofFigures">
    <w:name w:val="table of figures"/>
    <w:basedOn w:val="Normal"/>
    <w:next w:val="Normal"/>
    <w:uiPriority w:val="99"/>
    <w:rsid w:val="00F42E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5NUHHDQN7SK2-1-114872</_dlc_DocId>
    <TaxCatchAll xmlns="08b2df90-05d3-4030-90d4-c9feeb4a1cd9">
      <Value>10</Value>
      <Value>9</Value>
      <Value>8</Value>
    </TaxCatchAll>
    <_dlc_DocIdUrl xmlns="08b2df90-05d3-4030-90d4-c9feeb4a1cd9">
      <Url>https://ericoll.internal.ericsson.com/sites/STAR/_layouts/DocIdRedir.aspx?ID=5NUHHDQN7SK2-1-114872</Url>
      <Description>5NUHHDQN7SK2-1-114872</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IconOverlay xmlns="http://schemas.microsoft.com/sharepoint/v4" xsi:nil="true"/>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D85A6-6A43-41AA-9D83-8DF294277F22}"/>
</file>

<file path=customXml/itemProps2.xml><?xml version="1.0" encoding="utf-8"?>
<ds:datastoreItem xmlns:ds="http://schemas.openxmlformats.org/officeDocument/2006/customXml" ds:itemID="{4AB7C0EB-45D8-4AF5-A5DB-632FF737288C}"/>
</file>

<file path=customXml/itemProps3.xml><?xml version="1.0" encoding="utf-8"?>
<ds:datastoreItem xmlns:ds="http://schemas.openxmlformats.org/officeDocument/2006/customXml" ds:itemID="{A14A176D-45AA-4A8A-AC79-B827A8EEBBE7}"/>
</file>

<file path=customXml/itemProps4.xml><?xml version="1.0" encoding="utf-8"?>
<ds:datastoreItem xmlns:ds="http://schemas.openxmlformats.org/officeDocument/2006/customXml" ds:itemID="{69514A0F-108A-4698-BD07-45BC828019AC}"/>
</file>

<file path=customXml/itemProps5.xml><?xml version="1.0" encoding="utf-8"?>
<ds:datastoreItem xmlns:ds="http://schemas.openxmlformats.org/officeDocument/2006/customXml" ds:itemID="{E0FCD8BF-5AF6-4F6A-A674-E0DF577F2723}"/>
</file>

<file path=customXml/itemProps6.xml><?xml version="1.0" encoding="utf-8"?>
<ds:datastoreItem xmlns:ds="http://schemas.openxmlformats.org/officeDocument/2006/customXml" ds:itemID="{26664059-9FBE-48EA-B3F8-D018DE194A6D}"/>
</file>

<file path=customXml/itemProps7.xml><?xml version="1.0" encoding="utf-8"?>
<ds:datastoreItem xmlns:ds="http://schemas.openxmlformats.org/officeDocument/2006/customXml" ds:itemID="{E56C87A9-E54D-4E54-AA69-6F7B8BE0BE17}"/>
</file>

<file path=docProps/app.xml><?xml version="1.0" encoding="utf-8"?>
<Properties xmlns="http://schemas.openxmlformats.org/officeDocument/2006/extended-properties" xmlns:vt="http://schemas.openxmlformats.org/officeDocument/2006/docPropsVTypes">
  <Template>R2-15xxxx - Contribution template</Template>
  <TotalTime>93</TotalTime>
  <Pages>2</Pages>
  <Words>529</Words>
  <Characters>4290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Stefan Wager</cp:lastModifiedBy>
  <cp:revision>8</cp:revision>
  <cp:lastPrinted>2008-01-31T00:09:00Z</cp:lastPrinted>
  <dcterms:created xsi:type="dcterms:W3CDTF">2017-03-02T08:47:00Z</dcterms:created>
  <dcterms:modified xsi:type="dcterms:W3CDTF">2017-03-24T22:08:00Z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2016-07-31T22:00:00Z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393c69f4-0def-41cd-b357-124ef4a4a0b0</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ies>
</file>